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0" w:line="240" w:lineRule="auto"/>
        <w:jc w:val="center"/>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TERMO DE REFERÊNCIA</w:t>
      </w:r>
    </w:p>
    <w:p w:rsidR="00000000" w:rsidDel="00000000" w:rsidP="00000000" w:rsidRDefault="00000000" w:rsidRPr="00000000" w14:paraId="00000002">
      <w:pPr>
        <w:spacing w:after="200" w:before="0" w:line="240" w:lineRule="auto"/>
        <w:jc w:val="center"/>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Processo Administrativo Nº 83/2024</w:t>
      </w:r>
    </w:p>
    <w:p w:rsidR="00000000" w:rsidDel="00000000" w:rsidP="00000000" w:rsidRDefault="00000000" w:rsidRPr="00000000" w14:paraId="00000003">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 DO OBJETO</w:t>
      </w:r>
    </w:p>
    <w:p w:rsidR="00000000" w:rsidDel="00000000" w:rsidP="00000000" w:rsidRDefault="00000000" w:rsidRPr="00000000" w14:paraId="00000004">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 Contratação de uma empresa especializada em consultoria para fazer a Avaliação diagnóstica do Departamento de Turismo em Abelardo Luz, Revisão da lei de criação do Conselho Municipal, Chamamento Público para reorganização dos membros do Conselho Municipal de Turismo, Sensibilização de gestores municipais, Organização da reunião e ata para eleição dos novos membros da Diretoria do Conselho Municipal de Turismo, Elaboração ou Reestruturação do Regimento interno do Conselho Municipal de Turismo, Organização da documentação para o Mapa Brasileiro de Turismo, Auxilio na organização das ações para reestruturação do departamento de turismo, com relação a demanda de cursos, projetos e programas, em parceria com o Conselho Municipal de Turismo, Elaboração do Plano Estratégico Municipal, com ações para 4 anos.</w:t>
      </w:r>
    </w:p>
    <w:p w:rsidR="00000000" w:rsidDel="00000000" w:rsidP="00000000" w:rsidRDefault="00000000" w:rsidRPr="00000000" w14:paraId="00000005">
      <w:pPr>
        <w:spacing w:after="20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1.2 A estimativa preliminar do preço para a contratação é de R$16.800,00</w:t>
      </w:r>
      <w:r w:rsidDel="00000000" w:rsidR="00000000" w:rsidRPr="00000000">
        <w:rPr>
          <w:rFonts w:ascii="Verdana" w:cs="Verdana" w:eastAsia="Verdana" w:hAnsi="Verdana"/>
          <w:sz w:val="22"/>
          <w:szCs w:val="22"/>
          <w:rtl w:val="0"/>
        </w:rPr>
        <w:t xml:space="preserve">.</w:t>
      </w:r>
      <w:r w:rsidDel="00000000" w:rsidR="00000000" w:rsidRPr="00000000">
        <w:rPr>
          <w:rtl w:val="0"/>
        </w:rPr>
      </w:r>
    </w:p>
    <w:p w:rsidR="00000000" w:rsidDel="00000000" w:rsidP="00000000" w:rsidRDefault="00000000" w:rsidRPr="00000000" w14:paraId="00000006">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2. JUSTIFICATIVA E OBJETIVO DA CONTRATAÇÃO</w:t>
      </w:r>
    </w:p>
    <w:p w:rsidR="00000000" w:rsidDel="00000000" w:rsidP="00000000" w:rsidRDefault="00000000" w:rsidRPr="00000000" w14:paraId="00000007">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2.1 O município de Abelardo Luz reconhece a importância estratégica do turismo para o desenvolvimento econômico, social e cultural da região. Contudo, para potencializar os benefícios dessa atividade e superar os desafios enfrentados, torna-se imperativo realizar uma avaliação abrangente e implementar ações eficazes por meio da contratação de uma empresa especializada em consultoria em turismo.</w:t>
      </w:r>
    </w:p>
    <w:p w:rsidR="00000000" w:rsidDel="00000000" w:rsidP="00000000" w:rsidRDefault="00000000" w:rsidRPr="00000000" w14:paraId="00000008">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2.2 É fundamental compreender a situação atual do Departamento de Turismo, identificando suas potencialidades, fragilidades e oportunidades de melhoria. Uma avaliação diagnóstica detalhada permitirá direcionar esforços para fortalecer a gestão e os serviços oferecidos.</w:t>
      </w:r>
    </w:p>
    <w:p w:rsidR="00000000" w:rsidDel="00000000" w:rsidP="00000000" w:rsidRDefault="00000000" w:rsidRPr="00000000" w14:paraId="00000009">
      <w:pPr>
        <w:spacing w:after="240" w:before="24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2.3 A atualização da legislação que rege o Conselho Municipal de Turismo é essencial para adequá-lo às demandas contemporâneas e promover sua efetividade na formulação e implementação de políticas públicas para o setor.</w:t>
      </w:r>
    </w:p>
    <w:p w:rsidR="00000000" w:rsidDel="00000000" w:rsidP="00000000" w:rsidRDefault="00000000" w:rsidRPr="00000000" w14:paraId="0000000A">
      <w:pPr>
        <w:spacing w:after="240" w:before="200" w:line="276"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3. CLASSIFICAÇÃO DOS BENS/SERVIÇOS COMUNS</w:t>
      </w:r>
    </w:p>
    <w:p w:rsidR="00000000" w:rsidDel="00000000" w:rsidP="00000000" w:rsidRDefault="00000000" w:rsidRPr="00000000" w14:paraId="0000000B">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3.1 Consideram-se bens e serviços comuns, para os fins e efeitos do art. 6º, XIII, da Lei nº 14.133/2021, aqueles cujos padrões de desempenho e qualidade possam ser objetivamente definidos no Termo de Referência, por meio de especificações usuais no Mercado.</w:t>
      </w:r>
    </w:p>
    <w:p w:rsidR="00000000" w:rsidDel="00000000" w:rsidP="00000000" w:rsidRDefault="00000000" w:rsidRPr="00000000" w14:paraId="0000000C">
      <w:pPr>
        <w:spacing w:before="200" w:lineRule="auto"/>
        <w:ind w:left="3401.5748031496064" w:firstLine="0"/>
        <w:jc w:val="both"/>
        <w:rPr>
          <w:rFonts w:ascii="Arial" w:cs="Arial" w:eastAsia="Arial" w:hAnsi="Arial"/>
        </w:rPr>
      </w:pPr>
      <w:r w:rsidDel="00000000" w:rsidR="00000000" w:rsidRPr="00000000">
        <w:rPr>
          <w:rFonts w:ascii="Arial" w:cs="Arial" w:eastAsia="Arial" w:hAnsi="Arial"/>
          <w:rtl w:val="0"/>
        </w:rPr>
        <w:t xml:space="preserve">Art. </w:t>
        <w:tab/>
        <w:t xml:space="preserve">6º Para os fins desta Lei, consideram-se:</w:t>
      </w:r>
    </w:p>
    <w:p w:rsidR="00000000" w:rsidDel="00000000" w:rsidP="00000000" w:rsidRDefault="00000000" w:rsidRPr="00000000" w14:paraId="0000000D">
      <w:pPr>
        <w:spacing w:before="200" w:lineRule="auto"/>
        <w:ind w:left="3401.5748031496064" w:firstLine="0"/>
        <w:jc w:val="both"/>
        <w:rPr>
          <w:rFonts w:ascii="Verdana" w:cs="Verdana" w:eastAsia="Verdana" w:hAnsi="Verdana"/>
          <w:sz w:val="24"/>
          <w:szCs w:val="24"/>
        </w:rPr>
      </w:pPr>
      <w:r w:rsidDel="00000000" w:rsidR="00000000" w:rsidRPr="00000000">
        <w:rPr>
          <w:rFonts w:ascii="Arial" w:cs="Arial" w:eastAsia="Arial" w:hAnsi="Arial"/>
          <w:rtl w:val="0"/>
        </w:rPr>
        <w:t xml:space="preserve">XIII - bens e serviços comuns: aqueles cujos padrões de desempenho e qualidade </w:t>
        <w:tab/>
        <w:t xml:space="preserve">podem ser objetivamente definidos pelo edital, por meio de especificações </w:t>
        <w:tab/>
        <w:t xml:space="preserve">usuais de mercado; </w:t>
      </w:r>
      <w:r w:rsidDel="00000000" w:rsidR="00000000" w:rsidRPr="00000000">
        <w:rPr>
          <w:rtl w:val="0"/>
        </w:rPr>
      </w:r>
    </w:p>
    <w:p w:rsidR="00000000" w:rsidDel="00000000" w:rsidP="00000000" w:rsidRDefault="00000000" w:rsidRPr="00000000" w14:paraId="0000000E">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desenvolvimento e gestão eficaz do turismo envolvem uma ampla gama de atividades, desde avaliações diagnósticas até a elaboração de planos estratégicos. Essas tarefas requerem conhecimentos especializados e experiência, o que justifica a contratação de uma consultoria.</w:t>
      </w:r>
    </w:p>
    <w:p w:rsidR="00000000" w:rsidDel="00000000" w:rsidP="00000000" w:rsidRDefault="00000000" w:rsidRPr="00000000" w14:paraId="0000000F">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turismo é um setor multifacetado que requer conhecimentos específicos em áreas como planejamento urbano, marketing, desenvolvimento econômico e preservação ambiental. Uma consultoria especializada pode fornecer essa expertise de maneira mais eficiente e abrangente do que recursos internos da administração pública.</w:t>
      </w:r>
    </w:p>
    <w:p w:rsidR="00000000" w:rsidDel="00000000" w:rsidP="00000000" w:rsidRDefault="00000000" w:rsidRPr="00000000" w14:paraId="00000010">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Portanto, dada a natureza complexa e multidisciplinar do desenvolvimento do turismo, bem como a necessidade de expertise especializada, é comum e justificável a contratação de consultorias para apoiar as iniciativas municipais nesse setor.</w:t>
      </w:r>
    </w:p>
    <w:p w:rsidR="00000000" w:rsidDel="00000000" w:rsidP="00000000" w:rsidRDefault="00000000" w:rsidRPr="00000000" w14:paraId="00000011">
      <w:pPr>
        <w:spacing w:after="240" w:before="200" w:line="276"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4. DOS PRAZOS PARA A EXECUÇÃO DOS SERVIÇOS</w:t>
      </w:r>
    </w:p>
    <w:p w:rsidR="00000000" w:rsidDel="00000000" w:rsidP="00000000" w:rsidRDefault="00000000" w:rsidRPr="00000000" w14:paraId="00000012">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4.1 Os serviços deverão estar disponíveis no prazo de 30 A 60 dias a partir da assinatura do contrato.</w:t>
      </w:r>
    </w:p>
    <w:p w:rsidR="00000000" w:rsidDel="00000000" w:rsidP="00000000" w:rsidRDefault="00000000" w:rsidRPr="00000000" w14:paraId="00000013">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5. OBRIGAÇÕES DA CONTRATANTE</w:t>
      </w:r>
    </w:p>
    <w:p w:rsidR="00000000" w:rsidDel="00000000" w:rsidP="00000000" w:rsidRDefault="00000000" w:rsidRPr="00000000" w14:paraId="00000014">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5.1 Nomear Gestor e Fiscais Técnico, Administrativo e Requisitante do Contrato para acompanhar e fiscalizar sua execução;</w:t>
      </w:r>
    </w:p>
    <w:p w:rsidR="00000000" w:rsidDel="00000000" w:rsidP="00000000" w:rsidRDefault="00000000" w:rsidRPr="00000000" w14:paraId="00000015">
      <w:pPr>
        <w:spacing w:after="240" w:before="200" w:line="276"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5.2 Aplicar à CONTRATADA as sanções administrativas regulamentares e contratuais cabíveis caso se faça necessário;</w:t>
      </w:r>
    </w:p>
    <w:p w:rsidR="00000000" w:rsidDel="00000000" w:rsidP="00000000" w:rsidRDefault="00000000" w:rsidRPr="00000000" w14:paraId="00000016">
      <w:pPr>
        <w:widowControl w:val="0"/>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5.3 Liquidar o empenho e efetuar o pagamento à CONTRATADA, dentro dos prazos preestabelecidos em contrato;</w:t>
      </w:r>
    </w:p>
    <w:p w:rsidR="00000000" w:rsidDel="00000000" w:rsidP="00000000" w:rsidRDefault="00000000" w:rsidRPr="00000000" w14:paraId="00000017">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6. OBRIGAÇÕES DA CONTRATADA</w:t>
      </w:r>
    </w:p>
    <w:p w:rsidR="00000000" w:rsidDel="00000000" w:rsidP="00000000" w:rsidRDefault="00000000" w:rsidRPr="00000000" w14:paraId="00000018">
      <w:pPr>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6.1 A Contratada deve cumprir todas as obrigações constantes no Termo de Referência, seus anexos e sua proposta, assumindo como exclusivamente seus riscos e as despesas decorrentes da boa e perfeita execução do objeto e, ainda:</w:t>
      </w:r>
    </w:p>
    <w:p w:rsidR="00000000" w:rsidDel="00000000" w:rsidP="00000000" w:rsidRDefault="00000000" w:rsidRPr="00000000" w14:paraId="00000019">
      <w:pPr>
        <w:widowControl w:val="0"/>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6.2 Comunicar o CONTRATANTE acerca de quaisquer irregularidades e/ou infrações disciplinares cometidas.</w:t>
      </w:r>
    </w:p>
    <w:p w:rsidR="00000000" w:rsidDel="00000000" w:rsidP="00000000" w:rsidRDefault="00000000" w:rsidRPr="00000000" w14:paraId="0000001A">
      <w:pPr>
        <w:widowControl w:val="0"/>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6.3 Atender prontamente quaisquer orientações e exigências do fiscal do contrato, inerentes à execução do serviço contratual.</w:t>
      </w:r>
    </w:p>
    <w:p w:rsidR="00000000" w:rsidDel="00000000" w:rsidP="00000000" w:rsidRDefault="00000000" w:rsidRPr="00000000" w14:paraId="0000001B">
      <w:pPr>
        <w:spacing w:after="20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6.4 Tomar todas as providências necessárias à fiel execução dos serviços do Contrato;</w:t>
      </w:r>
    </w:p>
    <w:p w:rsidR="00000000" w:rsidDel="00000000" w:rsidP="00000000" w:rsidRDefault="00000000" w:rsidRPr="00000000" w14:paraId="0000001C">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6.5 A empresa de consultoria deverá apresentar experiência comprovada na prestação de serviços similares, com ênfase em projetos de desenvolvimento turístico e assessoria a órgãos governamentais.</w:t>
      </w:r>
    </w:p>
    <w:p w:rsidR="00000000" w:rsidDel="00000000" w:rsidP="00000000" w:rsidRDefault="00000000" w:rsidRPr="00000000" w14:paraId="0000001D">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6.6 A consultoria deverá demonstrar capacidade técnica e operacional para executar todas as atividades previstas no escopo do contrato, garantindo o cumprimento dos prazos e a qualidade dos resultados.</w:t>
      </w:r>
    </w:p>
    <w:p w:rsidR="00000000" w:rsidDel="00000000" w:rsidP="00000000" w:rsidRDefault="00000000" w:rsidRPr="00000000" w14:paraId="0000001E">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6.7 Deverá entregar os produtos dentro da estimativa do cronograma previsto abaixo:</w:t>
      </w:r>
    </w:p>
    <w:p w:rsidR="00000000" w:rsidDel="00000000" w:rsidP="00000000" w:rsidRDefault="00000000" w:rsidRPr="00000000" w14:paraId="0000001F">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6.7.1 Produtos: </w:t>
      </w:r>
    </w:p>
    <w:p w:rsidR="00000000" w:rsidDel="00000000" w:rsidP="00000000" w:rsidRDefault="00000000" w:rsidRPr="00000000" w14:paraId="00000020">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 – Construção coletiva e avaliação diagnóstica do turismo no município junto do conselho de Turismo - 8h </w:t>
      </w:r>
    </w:p>
    <w:p w:rsidR="00000000" w:rsidDel="00000000" w:rsidP="00000000" w:rsidRDefault="00000000" w:rsidRPr="00000000" w14:paraId="00000021">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b) – Construção da legislação correlata para adaptar as necessidades do município, minutas, projetos de lei. 30h </w:t>
      </w:r>
    </w:p>
    <w:p w:rsidR="00000000" w:rsidDel="00000000" w:rsidP="00000000" w:rsidRDefault="00000000" w:rsidRPr="00000000" w14:paraId="00000022">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c) – Sensibilização de gestores e diagnóstico individual do município (presencial) 18 h </w:t>
      </w:r>
    </w:p>
    <w:p w:rsidR="00000000" w:rsidDel="00000000" w:rsidP="00000000" w:rsidRDefault="00000000" w:rsidRPr="00000000" w14:paraId="00000023">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 – 04 reuniões (online) para feedbacks dos encontros presenciais. 4h </w:t>
      </w:r>
    </w:p>
    <w:p w:rsidR="00000000" w:rsidDel="00000000" w:rsidP="00000000" w:rsidRDefault="00000000" w:rsidRPr="00000000" w14:paraId="00000024">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e) – Organização dos documentos para o mapa Brasileiro de Turismo 8h </w:t>
      </w:r>
    </w:p>
    <w:p w:rsidR="00000000" w:rsidDel="00000000" w:rsidP="00000000" w:rsidRDefault="00000000" w:rsidRPr="00000000" w14:paraId="00000025">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f) – Elaboração ou reestruturação do Regimento Interno do Conselho Municipal de Turismo 8h </w:t>
      </w:r>
    </w:p>
    <w:p w:rsidR="00000000" w:rsidDel="00000000" w:rsidP="00000000" w:rsidRDefault="00000000" w:rsidRPr="00000000" w14:paraId="00000026">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g)- Plano Estratégico Municipal, construção coletiva com o trade municipal 60h </w:t>
      </w:r>
    </w:p>
    <w:p w:rsidR="00000000" w:rsidDel="00000000" w:rsidP="00000000" w:rsidRDefault="00000000" w:rsidRPr="00000000" w14:paraId="00000027">
      <w:pPr>
        <w:spacing w:after="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6.7.2 Tempo de atuação: 136 horas</w:t>
      </w:r>
    </w:p>
    <w:p w:rsidR="00000000" w:rsidDel="00000000" w:rsidP="00000000" w:rsidRDefault="00000000" w:rsidRPr="00000000" w14:paraId="00000028">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7. DA SUBCONTRATAÇÃO</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7.1 </w:t>
      </w: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Não será admitida a subcontratação do objeto </w:t>
      </w:r>
      <w:r w:rsidDel="00000000" w:rsidR="00000000" w:rsidRPr="00000000">
        <w:rPr>
          <w:rFonts w:ascii="Verdana" w:cs="Verdana" w:eastAsia="Verdana" w:hAnsi="Verdana"/>
          <w:sz w:val="24"/>
          <w:szCs w:val="24"/>
          <w:rtl w:val="0"/>
        </w:rPr>
        <w:t xml:space="preserve">licitatório.</w:t>
      </w:r>
    </w:p>
    <w:p w:rsidR="00000000" w:rsidDel="00000000" w:rsidP="00000000" w:rsidRDefault="00000000" w:rsidRPr="00000000" w14:paraId="0000002A">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8. DO CONTROLE E FISCALIZAÇÃO DA EXECUÇÃO</w:t>
      </w:r>
    </w:p>
    <w:p w:rsidR="00000000" w:rsidDel="00000000" w:rsidP="00000000" w:rsidRDefault="00000000" w:rsidRPr="00000000" w14:paraId="0000002B">
      <w:pPr>
        <w:widowControl w:val="0"/>
        <w:spacing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8.1 Nos termos do art. 117 da Lei 14.133/2021, será designado um representante pela Administração Municipal de Abelardo Luz para desempenhar o papel de fiscal durante a execução do contrato, para isso indica-se o servidor Odair Roberto. Este representante terá a responsabilidade de acompanhar o acolhimento, fiscalizar a execução do contrato e registrar todas as ocorrências relevantes em um documento próprio.</w:t>
      </w:r>
    </w:p>
    <w:p w:rsidR="00000000" w:rsidDel="00000000" w:rsidP="00000000" w:rsidRDefault="00000000" w:rsidRPr="00000000" w14:paraId="0000002C">
      <w:pPr>
        <w:widowControl w:val="0"/>
        <w:spacing w:before="200" w:lineRule="auto"/>
        <w:jc w:val="both"/>
        <w:rPr>
          <w:rFonts w:ascii="Verdana" w:cs="Verdana" w:eastAsia="Verdana" w:hAnsi="Verdana"/>
          <w:b w:val="1"/>
          <w:sz w:val="24"/>
          <w:szCs w:val="24"/>
          <w:highlight w:val="green"/>
        </w:rPr>
      </w:pPr>
      <w:r w:rsidDel="00000000" w:rsidR="00000000" w:rsidRPr="00000000">
        <w:rPr>
          <w:rFonts w:ascii="Verdana" w:cs="Verdana" w:eastAsia="Verdana" w:hAnsi="Verdana"/>
          <w:sz w:val="24"/>
          <w:szCs w:val="24"/>
          <w:rtl w:val="0"/>
        </w:rPr>
        <w:t xml:space="preserve">8.2 Caberá aos fiscais do contrato, dentre outras atribuições, determinar providências necessárias ao regular e efetivo cumprimento contratual, bem como anotar e enquadrar as infrações contratuais constatadas, comunicando as mesmas ao seu superior hierárquico.</w:t>
      </w:r>
      <w:r w:rsidDel="00000000" w:rsidR="00000000" w:rsidRPr="00000000">
        <w:rPr>
          <w:rtl w:val="0"/>
        </w:rPr>
      </w:r>
    </w:p>
    <w:p w:rsidR="00000000" w:rsidDel="00000000" w:rsidP="00000000" w:rsidRDefault="00000000" w:rsidRPr="00000000" w14:paraId="0000002D">
      <w:pPr>
        <w:spacing w:before="200" w:line="24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9. DO PAGAMENTO</w:t>
      </w:r>
    </w:p>
    <w:p w:rsidR="00000000" w:rsidDel="00000000" w:rsidP="00000000" w:rsidRDefault="00000000" w:rsidRPr="00000000" w14:paraId="0000002E">
      <w:pPr>
        <w:widowControl w:val="0"/>
        <w:spacing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9.1 A Prefeitura de Abelardo Luz efetuará o pagamento do objeto desta licitação 30 dias após a data de apresentação das respectivas notas fiscais, devidamente atestadas pelos servidores responsáveis.</w:t>
      </w:r>
    </w:p>
    <w:p w:rsidR="00000000" w:rsidDel="00000000" w:rsidP="00000000" w:rsidRDefault="00000000" w:rsidRPr="00000000" w14:paraId="0000002F">
      <w:pPr>
        <w:widowControl w:val="0"/>
        <w:spacing w:after="200" w:before="200" w:lineRule="auto"/>
        <w:ind w:lef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9.2 As despesas decorrentes da aquisição do objeto da presente Licitação correrão por conta da dotação específica da Secretaria de Indústria, Comércio, Serviços e Turismo prevista na Lei Orçamentária Anual para o exercício financeiro de 2024.</w:t>
      </w:r>
    </w:p>
    <w:p w:rsidR="00000000" w:rsidDel="00000000" w:rsidP="00000000" w:rsidRDefault="00000000" w:rsidRPr="00000000" w14:paraId="00000030">
      <w:pPr>
        <w:widowControl w:val="0"/>
        <w:spacing w:after="200" w:before="200" w:lineRule="auto"/>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9.3 1-9000-9001-22-661-2201-2.116 Despesa 17-3.3.90.00.00 Aplicações Diretas.</w:t>
      </w:r>
    </w:p>
    <w:p w:rsidR="00000000" w:rsidDel="00000000" w:rsidP="00000000" w:rsidRDefault="00000000" w:rsidRPr="00000000" w14:paraId="00000031">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10. DO REAJUSTE</w:t>
      </w:r>
    </w:p>
    <w:p w:rsidR="00000000" w:rsidDel="00000000" w:rsidP="00000000" w:rsidRDefault="00000000" w:rsidRPr="00000000" w14:paraId="00000032">
      <w:pPr>
        <w:spacing w:before="200" w:lineRule="auto"/>
        <w:jc w:val="both"/>
        <w:rPr>
          <w:rFonts w:ascii="Verdana" w:cs="Verdana" w:eastAsia="Verdana" w:hAnsi="Verdana"/>
          <w:b w:val="1"/>
          <w:sz w:val="24"/>
          <w:szCs w:val="24"/>
        </w:rPr>
      </w:pPr>
      <w:r w:rsidDel="00000000" w:rsidR="00000000" w:rsidRPr="00000000">
        <w:rPr>
          <w:rFonts w:ascii="Verdana" w:cs="Verdana" w:eastAsia="Verdana" w:hAnsi="Verdana"/>
          <w:sz w:val="24"/>
          <w:szCs w:val="24"/>
          <w:rtl w:val="0"/>
        </w:rPr>
        <w:t xml:space="preserve">10.1</w:t>
      </w:r>
      <w:r w:rsidDel="00000000" w:rsidR="00000000" w:rsidRPr="00000000">
        <w:rPr>
          <w:rFonts w:ascii="Verdana" w:cs="Verdana" w:eastAsia="Verdana" w:hAnsi="Verdana"/>
          <w:b w:val="1"/>
          <w:sz w:val="24"/>
          <w:szCs w:val="24"/>
          <w:rtl w:val="0"/>
        </w:rPr>
        <w:t xml:space="preserve"> </w:t>
      </w:r>
      <w:r w:rsidDel="00000000" w:rsidR="00000000" w:rsidRPr="00000000">
        <w:rPr>
          <w:rFonts w:ascii="Verdana" w:cs="Verdana" w:eastAsia="Verdana" w:hAnsi="Verdana"/>
          <w:sz w:val="24"/>
          <w:szCs w:val="24"/>
          <w:rtl w:val="0"/>
        </w:rPr>
        <w:t xml:space="preserve">Os preços são fixos e irreajustáveis.</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1"/>
          <w:i w:val="0"/>
          <w:smallCaps w:val="0"/>
          <w:strike w:val="0"/>
          <w:color w:val="000000"/>
          <w:sz w:val="24"/>
          <w:szCs w:val="24"/>
          <w:u w:val="none"/>
          <w:vertAlign w:val="baseline"/>
        </w:rPr>
      </w:pPr>
      <w:r w:rsidDel="00000000" w:rsidR="00000000" w:rsidRPr="00000000">
        <w:rPr>
          <w:rFonts w:ascii="Verdana" w:cs="Verdana" w:eastAsia="Verdana" w:hAnsi="Verdana"/>
          <w:b w:val="1"/>
          <w:i w:val="0"/>
          <w:smallCaps w:val="0"/>
          <w:strike w:val="0"/>
          <w:color w:val="000000"/>
          <w:sz w:val="24"/>
          <w:szCs w:val="24"/>
          <w:u w:val="none"/>
          <w:vertAlign w:val="baseline"/>
          <w:rtl w:val="0"/>
        </w:rPr>
        <w:t xml:space="preserve">1</w:t>
      </w:r>
      <w:r w:rsidDel="00000000" w:rsidR="00000000" w:rsidRPr="00000000">
        <w:rPr>
          <w:rFonts w:ascii="Verdana" w:cs="Verdana" w:eastAsia="Verdana" w:hAnsi="Verdana"/>
          <w:b w:val="1"/>
          <w:sz w:val="24"/>
          <w:szCs w:val="24"/>
          <w:rtl w:val="0"/>
        </w:rPr>
        <w:t xml:space="preserve">1</w:t>
      </w:r>
      <w:r w:rsidDel="00000000" w:rsidR="00000000" w:rsidRPr="00000000">
        <w:rPr>
          <w:rFonts w:ascii="Verdana" w:cs="Verdana" w:eastAsia="Verdana" w:hAnsi="Verdana"/>
          <w:b w:val="1"/>
          <w:i w:val="0"/>
          <w:smallCaps w:val="0"/>
          <w:strike w:val="0"/>
          <w:color w:val="000000"/>
          <w:sz w:val="24"/>
          <w:szCs w:val="24"/>
          <w:u w:val="none"/>
          <w:vertAlign w:val="baseline"/>
          <w:rtl w:val="0"/>
        </w:rPr>
        <w:t xml:space="preserve">. DAS SANÇÕES ADMINISTRATIVAS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11.1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Comete infração administrativa nos termos do artigo 155, da Lei nº 14.133/2021, a Contratada que:</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Dar causa à inexecução parcial do contrato que cause grave dano à Administração, ao funcionamento dos serviços públicos ou ao interesse coletivo;</w:t>
      </w: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11.3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Dar causa à inexecução total do contrato;</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11.4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Deixar de entregar a documentação exigida para o certame;</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11.5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Não manter a proposta, salvo em decorrência de fato superveniente devidamente justificado;</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11.6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11.7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Ensejar o retardamento da execução ou da entrega do objeto da licitação sem motivo justificado;</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11.8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Apresentar declaração ou documentação falsa exigida para o certame ou prestar declaração falsa durante a licitação ou a execução do contrato;</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11.9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Fraudar a licitação ou praticar ato fraudulento na execução do contrato;</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11.10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Comportar-se de modo inidôneo ou cometer fraude de qualquer natureza;</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11.11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Praticar atos ilícitos com vistas a frustrar os objetivos da licitação;</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11.12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Praticar ato lesivo previsto no </w:t>
      </w:r>
      <w:hyperlink r:id="rId7">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art. 5º da Lei nº 12.846, de 1º de agosto de 2013. </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11.13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Pela inexecução total ou parcial do serviço, a Administração pode aplicar à CONTRATADA as sanções previstas no artigo 156, da Lei n° 14.133/2021 e demais: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11.14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Advertência;</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11.15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Multa moratória de 1% (um por cento) por dia de atraso injustificado sobre o valor da parcela inadimplida, até o limite de 30 (trinta) dias;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11.16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Multa compensatória de 10% (dez por cento) sobre o valor total do serviço, no caso de inexecução total do objeto;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11.17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Em caso de inexecução parcial, a multa compensatória, no mesmo percentual do subitem acima, será aplicada de forma proporcional à obrigação inadimplida;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11.18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Impedimento de licitar e contratar;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11.19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Declaração de inidoneidade para licitar ou contratar;</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11.20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Também ficam sujeitas às penalidades do art. 156 da Lei 14.133/2021, as empresas ou profissionais que: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b w:val="0"/>
          <w:i w:val="0"/>
          <w:smallCaps w:val="0"/>
          <w:strike w:val="0"/>
          <w:color w:val="000000"/>
          <w:sz w:val="24"/>
          <w:szCs w:val="24"/>
          <w:u w:val="none"/>
          <w:vertAlign w:val="baseline"/>
        </w:rPr>
      </w:pPr>
      <w:r w:rsidDel="00000000" w:rsidR="00000000" w:rsidRPr="00000000">
        <w:rPr>
          <w:rFonts w:ascii="Verdana" w:cs="Verdana" w:eastAsia="Verdana" w:hAnsi="Verdana"/>
          <w:sz w:val="24"/>
          <w:szCs w:val="24"/>
          <w:rtl w:val="0"/>
        </w:rPr>
        <w:t xml:space="preserve">11.21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Tenham sofrido condenação definitiva por praticar, por meio dolosos, fraude fiscal no recolhimento de quaisquer tributos;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11.22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Tenham praticado atos ilícitos visando a frustrar os objetivos da licitação;</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11.23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Demonstrem não possuir idoneidade para contratar com a Administração em virtude de atos ilícitos praticados.</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11.24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 aplicação de qualquer das penalidades previstas realizar-se-á em processo administrativo que assegurará o contraditório e a ampla defesa à Contratada, observando-se o procedimento previsto na Lei nº 14.133, e subsidiariamente a Lei nº 9.784, de 1999.</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11.25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As multas devidas e/ou prejuízos causados à Contratante serão deduzidos dos valores a serem pagos, ou recolhido sem favor da União, ou deduzidos da garantia, ou ainda, quando for o caso, serão inscritos na Dívida Ativa da União e cobrados judicialmente.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11.26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Caso o valor da multa não seja suficiente para cobrir os prejuízos causados pela conduta do licitante, a União ou Entidade poderá cobrar o valor remanescente judicialmente, conforme artigo 419 do Código Civil.</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11.27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 autoridade competente, na aplicação das sanções, levará em consideração a gravidade da conduta do infrator, o caráter educativo da pena, bem como o dano causado à Administração, observado o princípio da proporcionalidade.</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11.28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Se, durante o processo de aplicação de penalidade, se houver indícios de prática de infração administrativa tipificada pela Lei nº 12.846, de 1º de agosto de 2013, como ato lesivo à administração pública nacional ou estrangeira, cópias dos processos administrativos necessários à apuração da responsabilidade da empresa deverão ser remetidas à autoridade competente, com despacho fundamentado, para ciência e decisão sobre a eventual instauração de investigação preliminar ou Processo Administrativo de Responsabilização –PAR.</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40" w:lineRule="auto"/>
        <w:ind w:left="0" w:right="0" w:firstLine="0"/>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11.29 </w:t>
      </w:r>
      <w:r w:rsidDel="00000000" w:rsidR="00000000" w:rsidRPr="00000000">
        <w:rPr>
          <w:rFonts w:ascii="Verdana" w:cs="Verdana" w:eastAsia="Verdana" w:hAnsi="Verdana"/>
          <w:b w:val="0"/>
          <w:i w:val="0"/>
          <w:smallCaps w:val="0"/>
          <w:strike w:val="0"/>
          <w:color w:val="000000"/>
          <w:sz w:val="24"/>
          <w:szCs w:val="24"/>
          <w:u w:val="none"/>
          <w:vertAlign w:val="baseline"/>
          <w:rtl w:val="0"/>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w:t>
      </w:r>
      <w:r w:rsidDel="00000000" w:rsidR="00000000" w:rsidRPr="00000000">
        <w:rPr>
          <w:rtl w:val="0"/>
        </w:rPr>
      </w:r>
    </w:p>
    <w:p w:rsidR="00000000" w:rsidDel="00000000" w:rsidP="00000000" w:rsidRDefault="00000000" w:rsidRPr="00000000" w14:paraId="00000051">
      <w:pPr>
        <w:jc w:val="right"/>
        <w:rPr>
          <w:rFonts w:ascii="Verdana" w:cs="Verdana" w:eastAsia="Verdana" w:hAnsi="Verdana"/>
          <w:sz w:val="24"/>
          <w:szCs w:val="24"/>
        </w:rPr>
      </w:pPr>
      <w:bookmarkStart w:colFirst="0" w:colLast="0" w:name="_heading=h.gjdgxs" w:id="0"/>
      <w:bookmarkEnd w:id="0"/>
      <w:r w:rsidDel="00000000" w:rsidR="00000000" w:rsidRPr="00000000">
        <w:rPr>
          <w:rFonts w:ascii="Verdana" w:cs="Verdana" w:eastAsia="Verdana" w:hAnsi="Verdana"/>
          <w:sz w:val="24"/>
          <w:szCs w:val="24"/>
          <w:rtl w:val="0"/>
        </w:rPr>
        <w:t xml:space="preserve">Abelardo Luz, SC, 26 de abril de 2024</w:t>
      </w:r>
    </w:p>
    <w:p w:rsidR="00000000" w:rsidDel="00000000" w:rsidP="00000000" w:rsidRDefault="00000000" w:rsidRPr="00000000" w14:paraId="00000052">
      <w:pPr>
        <w:jc w:val="right"/>
        <w:rPr>
          <w:rFonts w:ascii="Verdana" w:cs="Verdana" w:eastAsia="Verdana" w:hAnsi="Verdana"/>
          <w:sz w:val="24"/>
          <w:szCs w:val="24"/>
        </w:rPr>
      </w:pPr>
      <w:bookmarkStart w:colFirst="0" w:colLast="0" w:name="_heading=h.na3i7syy2j21" w:id="1"/>
      <w:bookmarkEnd w:id="1"/>
      <w:r w:rsidDel="00000000" w:rsidR="00000000" w:rsidRPr="00000000">
        <w:rPr>
          <w:rtl w:val="0"/>
        </w:rPr>
      </w:r>
    </w:p>
    <w:p w:rsidR="00000000" w:rsidDel="00000000" w:rsidP="00000000" w:rsidRDefault="00000000" w:rsidRPr="00000000" w14:paraId="00000053">
      <w:pPr>
        <w:jc w:val="right"/>
        <w:rPr>
          <w:rFonts w:ascii="Verdana" w:cs="Verdana" w:eastAsia="Verdana" w:hAnsi="Verdana"/>
          <w:sz w:val="24"/>
          <w:szCs w:val="24"/>
        </w:rPr>
      </w:pPr>
      <w:bookmarkStart w:colFirst="0" w:colLast="0" w:name="_heading=h.ocit0cetsx3r" w:id="2"/>
      <w:bookmarkEnd w:id="2"/>
      <w:r w:rsidDel="00000000" w:rsidR="00000000" w:rsidRPr="00000000">
        <w:rPr>
          <w:rtl w:val="0"/>
        </w:rPr>
      </w:r>
    </w:p>
    <w:p w:rsidR="00000000" w:rsidDel="00000000" w:rsidP="00000000" w:rsidRDefault="00000000" w:rsidRPr="00000000" w14:paraId="00000054">
      <w:pPr>
        <w:jc w:val="right"/>
        <w:rPr>
          <w:rFonts w:ascii="Verdana" w:cs="Verdana" w:eastAsia="Verdana" w:hAnsi="Verdana"/>
          <w:sz w:val="24"/>
          <w:szCs w:val="24"/>
        </w:rPr>
      </w:pPr>
      <w:bookmarkStart w:colFirst="0" w:colLast="0" w:name="_heading=h.vrehlajgnakr" w:id="3"/>
      <w:bookmarkEnd w:id="3"/>
      <w:r w:rsidDel="00000000" w:rsidR="00000000" w:rsidRPr="00000000">
        <w:rPr>
          <w:rtl w:val="0"/>
        </w:rPr>
      </w:r>
    </w:p>
    <w:p w:rsidR="00000000" w:rsidDel="00000000" w:rsidP="00000000" w:rsidRDefault="00000000" w:rsidRPr="00000000" w14:paraId="00000055">
      <w:pPr>
        <w:jc w:val="right"/>
        <w:rPr>
          <w:rFonts w:ascii="Verdana" w:cs="Verdana" w:eastAsia="Verdana" w:hAnsi="Verdana"/>
          <w:sz w:val="24"/>
          <w:szCs w:val="24"/>
        </w:rPr>
      </w:pPr>
      <w:bookmarkStart w:colFirst="0" w:colLast="0" w:name="_heading=h.4nmrxipgq3nf" w:id="4"/>
      <w:bookmarkEnd w:id="4"/>
      <w:r w:rsidDel="00000000" w:rsidR="00000000" w:rsidRPr="00000000">
        <w:rPr>
          <w:rtl w:val="0"/>
        </w:rPr>
      </w:r>
    </w:p>
    <w:p w:rsidR="00000000" w:rsidDel="00000000" w:rsidP="00000000" w:rsidRDefault="00000000" w:rsidRPr="00000000" w14:paraId="00000056">
      <w:pPr>
        <w:jc w:val="right"/>
        <w:rPr>
          <w:rFonts w:ascii="Verdana" w:cs="Verdana" w:eastAsia="Verdana" w:hAnsi="Verdana"/>
          <w:sz w:val="24"/>
          <w:szCs w:val="24"/>
        </w:rPr>
      </w:pPr>
      <w:bookmarkStart w:colFirst="0" w:colLast="0" w:name="_heading=h.cw4kd8nxri8c" w:id="5"/>
      <w:bookmarkEnd w:id="5"/>
      <w:r w:rsidDel="00000000" w:rsidR="00000000" w:rsidRPr="00000000">
        <w:rPr>
          <w:rtl w:val="0"/>
        </w:rPr>
      </w:r>
    </w:p>
    <w:p w:rsidR="00000000" w:rsidDel="00000000" w:rsidP="00000000" w:rsidRDefault="00000000" w:rsidRPr="00000000" w14:paraId="00000057">
      <w:pPr>
        <w:rPr>
          <w:rFonts w:ascii="Verdana" w:cs="Verdana" w:eastAsia="Verdana" w:hAnsi="Verdana"/>
          <w:b w:val="1"/>
          <w:sz w:val="24"/>
          <w:szCs w:val="24"/>
        </w:rPr>
      </w:pPr>
      <w:r w:rsidDel="00000000" w:rsidR="00000000" w:rsidRPr="00000000">
        <w:rPr>
          <w:rtl w:val="0"/>
        </w:rPr>
      </w:r>
    </w:p>
    <w:p w:rsidR="00000000" w:rsidDel="00000000" w:rsidP="00000000" w:rsidRDefault="00000000" w:rsidRPr="00000000" w14:paraId="00000058">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_______________________</w:t>
      </w:r>
    </w:p>
    <w:p w:rsidR="00000000" w:rsidDel="00000000" w:rsidP="00000000" w:rsidRDefault="00000000" w:rsidRPr="00000000" w14:paraId="00000059">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Luan Freitas De Souza</w:t>
      </w:r>
    </w:p>
    <w:p w:rsidR="00000000" w:rsidDel="00000000" w:rsidP="00000000" w:rsidRDefault="00000000" w:rsidRPr="00000000" w14:paraId="0000005A">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Coordenador De Apoio Operacional</w:t>
      </w:r>
    </w:p>
    <w:p w:rsidR="00000000" w:rsidDel="00000000" w:rsidP="00000000" w:rsidRDefault="00000000" w:rsidRPr="00000000" w14:paraId="0000005B">
      <w:pPr>
        <w:jc w:val="center"/>
        <w:rPr>
          <w:rFonts w:ascii="Verdana" w:cs="Verdana" w:eastAsia="Verdana" w:hAnsi="Verdana"/>
          <w:b w:val="1"/>
          <w:sz w:val="24"/>
          <w:szCs w:val="24"/>
          <w:highlight w:val="yellow"/>
        </w:rPr>
      </w:pPr>
      <w:r w:rsidDel="00000000" w:rsidR="00000000" w:rsidRPr="00000000">
        <w:rPr>
          <w:rtl w:val="0"/>
        </w:rPr>
      </w:r>
    </w:p>
    <w:p w:rsidR="00000000" w:rsidDel="00000000" w:rsidP="00000000" w:rsidRDefault="00000000" w:rsidRPr="00000000" w14:paraId="0000005C">
      <w:pPr>
        <w:jc w:val="center"/>
        <w:rPr>
          <w:rFonts w:ascii="Verdana" w:cs="Verdana" w:eastAsia="Verdana" w:hAnsi="Verdana"/>
          <w:b w:val="1"/>
          <w:sz w:val="24"/>
          <w:szCs w:val="24"/>
          <w:highlight w:val="yellow"/>
        </w:rPr>
      </w:pPr>
      <w:r w:rsidDel="00000000" w:rsidR="00000000" w:rsidRPr="00000000">
        <w:rPr>
          <w:rtl w:val="0"/>
        </w:rPr>
      </w:r>
    </w:p>
    <w:p w:rsidR="00000000" w:rsidDel="00000000" w:rsidP="00000000" w:rsidRDefault="00000000" w:rsidRPr="00000000" w14:paraId="0000005D">
      <w:pPr>
        <w:jc w:val="center"/>
        <w:rPr>
          <w:rFonts w:ascii="Verdana" w:cs="Verdana" w:eastAsia="Verdana" w:hAnsi="Verdana"/>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5E">
      <w:pPr>
        <w:jc w:val="center"/>
        <w:rPr>
          <w:rFonts w:ascii="Verdana" w:cs="Verdana" w:eastAsia="Verdana" w:hAnsi="Verdana"/>
          <w:b w:val="1"/>
          <w:sz w:val="24"/>
          <w:szCs w:val="24"/>
          <w:highlight w:val="yellow"/>
        </w:rPr>
      </w:pPr>
      <w:r w:rsidDel="00000000" w:rsidR="00000000" w:rsidRPr="00000000">
        <w:rPr>
          <w:rtl w:val="0"/>
        </w:rPr>
      </w:r>
    </w:p>
    <w:p w:rsidR="00000000" w:rsidDel="00000000" w:rsidP="00000000" w:rsidRDefault="00000000" w:rsidRPr="00000000" w14:paraId="0000005F">
      <w:pPr>
        <w:jc w:val="center"/>
        <w:rPr>
          <w:rFonts w:ascii="Verdana" w:cs="Verdana" w:eastAsia="Verdana" w:hAnsi="Verdana"/>
          <w:b w:val="1"/>
          <w:sz w:val="24"/>
          <w:szCs w:val="24"/>
          <w:highlight w:val="yellow"/>
        </w:rPr>
      </w:pPr>
      <w:r w:rsidDel="00000000" w:rsidR="00000000" w:rsidRPr="00000000">
        <w:rPr>
          <w:rtl w:val="0"/>
        </w:rPr>
      </w:r>
    </w:p>
    <w:p w:rsidR="00000000" w:rsidDel="00000000" w:rsidP="00000000" w:rsidRDefault="00000000" w:rsidRPr="00000000" w14:paraId="00000060">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DESPACHO DO ORDENADOR DE DESPESAS</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552" w:right="0" w:firstLine="0"/>
        <w:jc w:val="both"/>
        <w:rPr>
          <w:rFonts w:ascii="Verdana" w:cs="Verdana" w:eastAsia="Verdana" w:hAnsi="Verdana"/>
          <w:b w:val="1"/>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62">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O documento apresentado descreve de maneira adequada o planejamento da contratação, sendo inviável a competição pois somente a instituição contratada atende as necessidades da administração, também possui critérios de aceitação do objeto, deveres do Licitante e da Administração, procedimentos de fiscalização e gerenciamento, prazos e a possibilidade de sanções administrativas, de forma clara, concisa e objetiva.</w:t>
      </w:r>
    </w:p>
    <w:p w:rsidR="00000000" w:rsidDel="00000000" w:rsidP="00000000" w:rsidRDefault="00000000" w:rsidRPr="00000000" w14:paraId="00000063">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4">
      <w:pPr>
        <w:jc w:val="both"/>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Dessa forma, nos termos do artigo 74 da Lei n° 14.133/2021, aprovo o presente Termo de Referência.</w:t>
      </w:r>
    </w:p>
    <w:p w:rsidR="00000000" w:rsidDel="00000000" w:rsidP="00000000" w:rsidRDefault="00000000" w:rsidRPr="00000000" w14:paraId="00000065">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6">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7">
      <w:pPr>
        <w:jc w:val="right"/>
        <w:rPr>
          <w:rFonts w:ascii="Verdana" w:cs="Verdana" w:eastAsia="Verdana" w:hAnsi="Verdana"/>
          <w:sz w:val="24"/>
          <w:szCs w:val="24"/>
        </w:rPr>
      </w:pPr>
      <w:r w:rsidDel="00000000" w:rsidR="00000000" w:rsidRPr="00000000">
        <w:rPr>
          <w:rFonts w:ascii="Verdana" w:cs="Verdana" w:eastAsia="Verdana" w:hAnsi="Verdana"/>
          <w:sz w:val="24"/>
          <w:szCs w:val="24"/>
          <w:rtl w:val="0"/>
        </w:rPr>
        <w:t xml:space="preserve">Abelardo Luz, SC, 26 de abril de 2024.</w:t>
      </w:r>
    </w:p>
    <w:p w:rsidR="00000000" w:rsidDel="00000000" w:rsidP="00000000" w:rsidRDefault="00000000" w:rsidRPr="00000000" w14:paraId="00000068">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9">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A">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6B">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6C">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6D">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6E">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6F">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_________________</w:t>
      </w:r>
    </w:p>
    <w:p w:rsidR="00000000" w:rsidDel="00000000" w:rsidP="00000000" w:rsidRDefault="00000000" w:rsidRPr="00000000" w14:paraId="00000070">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Nerci Santin</w:t>
      </w:r>
    </w:p>
    <w:p w:rsidR="00000000" w:rsidDel="00000000" w:rsidP="00000000" w:rsidRDefault="00000000" w:rsidRPr="00000000" w14:paraId="00000071">
      <w:pPr>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Prefeito Municipal</w:t>
      </w:r>
    </w:p>
    <w:p w:rsidR="00000000" w:rsidDel="00000000" w:rsidP="00000000" w:rsidRDefault="00000000" w:rsidRPr="00000000" w14:paraId="00000072">
      <w:pPr>
        <w:jc w:val="both"/>
        <w:rPr>
          <w:rFonts w:ascii="Verdana" w:cs="Verdana" w:eastAsia="Verdana" w:hAnsi="Verdana"/>
          <w:sz w:val="24"/>
          <w:szCs w:val="24"/>
        </w:rPr>
      </w:pPr>
      <w:r w:rsidDel="00000000" w:rsidR="00000000" w:rsidRPr="00000000">
        <w:rPr>
          <w:rtl w:val="0"/>
        </w:rPr>
      </w:r>
    </w:p>
    <w:p w:rsidR="00000000" w:rsidDel="00000000" w:rsidP="00000000" w:rsidRDefault="00000000" w:rsidRPr="00000000" w14:paraId="00000073">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74">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75">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76">
      <w:pPr>
        <w:jc w:val="both"/>
        <w:rPr>
          <w:rFonts w:ascii="Verdana" w:cs="Verdana" w:eastAsia="Verdana" w:hAnsi="Verdana"/>
          <w:sz w:val="24"/>
          <w:szCs w:val="24"/>
          <w:highlight w:val="yellow"/>
        </w:rPr>
      </w:pPr>
      <w:r w:rsidDel="00000000" w:rsidR="00000000" w:rsidRPr="00000000">
        <w:rPr>
          <w:rtl w:val="0"/>
        </w:rPr>
      </w:r>
    </w:p>
    <w:p w:rsidR="00000000" w:rsidDel="00000000" w:rsidP="00000000" w:rsidRDefault="00000000" w:rsidRPr="00000000" w14:paraId="00000077">
      <w:pPr>
        <w:jc w:val="both"/>
        <w:rPr>
          <w:rFonts w:ascii="Verdana" w:cs="Verdana" w:eastAsia="Verdana" w:hAnsi="Verdana"/>
          <w:sz w:val="24"/>
          <w:szCs w:val="24"/>
        </w:rPr>
      </w:pPr>
      <w:r w:rsidDel="00000000" w:rsidR="00000000" w:rsidRPr="00000000">
        <w:rPr>
          <w:rtl w:val="0"/>
        </w:rPr>
      </w:r>
    </w:p>
    <w:sectPr>
      <w:headerReference r:id="rId8" w:type="default"/>
      <w:headerReference r:id="rId9" w:type="even"/>
      <w:footerReference r:id="rId10" w:type="even"/>
      <w:pgSz w:h="16838" w:w="11906" w:orient="portrait"/>
      <w:pgMar w:bottom="709" w:top="17" w:left="1701" w:right="1133" w:header="0"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Verdan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320"/>
        <w:tab w:val="right" w:leader="none" w:pos="8640"/>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320"/>
        <w:tab w:val="right" w:leader="none" w:pos="8640"/>
      </w:tabs>
      <w:ind w:right="36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leader="none" w:pos="4320"/>
        <w:tab w:val="right" w:leader="none" w:pos="8640"/>
      </w:tabs>
      <w:ind w:left="-1701" w:firstLine="0"/>
      <w:rPr>
        <w:rFonts w:ascii="Arial" w:cs="Arial" w:eastAsia="Arial" w:hAnsi="Arial"/>
        <w:i w:val="1"/>
        <w:color w:val="000000"/>
        <w:sz w:val="32"/>
        <w:szCs w:val="32"/>
      </w:rPr>
    </w:pPr>
    <w:r w:rsidDel="00000000" w:rsidR="00000000" w:rsidRPr="00000000">
      <w:rPr>
        <w:rFonts w:ascii="Arial" w:cs="Arial" w:eastAsia="Arial" w:hAnsi="Arial"/>
        <w:i w:val="1"/>
        <w:sz w:val="32"/>
        <w:szCs w:val="32"/>
      </w:rPr>
      <w:drawing>
        <wp:anchor allowOverlap="1" behindDoc="0" distB="114300" distT="114300" distL="114300" distR="114300" hidden="0" layoutInCell="1" locked="0" relativeHeight="0" simplePos="0">
          <wp:simplePos x="0" y="0"/>
          <wp:positionH relativeFrom="page">
            <wp:posOffset>-15218</wp:posOffset>
          </wp:positionH>
          <wp:positionV relativeFrom="page">
            <wp:posOffset>-114278</wp:posOffset>
          </wp:positionV>
          <wp:extent cx="7563803" cy="1333500"/>
          <wp:effectExtent b="0" l="0" r="0" t="0"/>
          <wp:wrapTopAndBottom distB="114300" distT="114300"/>
          <wp:docPr id="17" name="image1.png"/>
          <a:graphic>
            <a:graphicData uri="http://schemas.openxmlformats.org/drawingml/2006/picture">
              <pic:pic>
                <pic:nvPicPr>
                  <pic:cNvPr id="0" name="image1.png"/>
                  <pic:cNvPicPr preferRelativeResize="0"/>
                </pic:nvPicPr>
                <pic:blipFill>
                  <a:blip r:embed="rId1"/>
                  <a:srcRect b="0" l="0" r="0" t="-9531"/>
                  <a:stretch>
                    <a:fillRect/>
                  </a:stretch>
                </pic:blipFill>
                <pic:spPr>
                  <a:xfrm>
                    <a:off x="0" y="0"/>
                    <a:ext cx="7563803" cy="1333500"/>
                  </a:xfrm>
                  <a:prstGeom prst="rect"/>
                  <a:ln/>
                </pic:spPr>
              </pic:pic>
            </a:graphicData>
          </a:graphic>
        </wp:anchor>
      </w:drawing>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320"/>
        <w:tab w:val="right" w:leader="none" w:pos="8640"/>
      </w:tabs>
      <w:ind w:right="51"/>
      <w:rPr>
        <w:rFonts w:ascii="Arial" w:cs="Arial" w:eastAsia="Arial" w:hAnsi="Arial"/>
        <w:i w:val="1"/>
        <w:color w:val="000000"/>
        <w:sz w:val="32"/>
        <w:szCs w:val="3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b w:val="1"/>
      <w:sz w:val="22"/>
      <w:szCs w:val="22"/>
    </w:rPr>
  </w:style>
  <w:style w:type="paragraph" w:styleId="Heading2">
    <w:name w:val="heading 2"/>
    <w:basedOn w:val="Normal"/>
    <w:next w:val="Normal"/>
    <w:pPr>
      <w:keepNext w:val="1"/>
      <w:jc w:val="both"/>
    </w:pPr>
    <w:rPr>
      <w:b w:val="1"/>
      <w:sz w:val="21"/>
      <w:szCs w:val="21"/>
    </w:rPr>
  </w:style>
  <w:style w:type="paragraph" w:styleId="Heading3">
    <w:name w:val="heading 3"/>
    <w:basedOn w:val="Normal"/>
    <w:next w:val="Normal"/>
    <w:pPr>
      <w:keepNext w:val="1"/>
    </w:pPr>
    <w:rPr>
      <w:b w:val="1"/>
      <w:sz w:val="36"/>
      <w:szCs w:val="36"/>
    </w:rPr>
  </w:style>
  <w:style w:type="paragraph" w:styleId="Heading4">
    <w:name w:val="heading 4"/>
    <w:basedOn w:val="Normal"/>
    <w:next w:val="Normal"/>
    <w:pPr>
      <w:keepNext w:val="1"/>
    </w:pPr>
    <w:rPr>
      <w:b w:val="1"/>
      <w:sz w:val="24"/>
      <w:szCs w:val="24"/>
    </w:rPr>
  </w:style>
  <w:style w:type="paragraph" w:styleId="Heading5">
    <w:name w:val="heading 5"/>
    <w:basedOn w:val="Normal"/>
    <w:next w:val="Normal"/>
    <w:pPr>
      <w:keepNext w:val="1"/>
      <w:jc w:val="center"/>
    </w:pPr>
    <w:rPr>
      <w:sz w:val="24"/>
      <w:szCs w:val="24"/>
    </w:rPr>
  </w:style>
  <w:style w:type="paragraph" w:styleId="Heading6">
    <w:name w:val="heading 6"/>
    <w:basedOn w:val="Normal"/>
    <w:next w:val="Normal"/>
    <w:pPr>
      <w:keepNext w:val="1"/>
      <w:jc w:val="center"/>
    </w:pPr>
    <w:rPr>
      <w:b w:val="1"/>
      <w:sz w:val="24"/>
      <w:szCs w:val="24"/>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planalto.gov.br/ccivil_03/_Ato2011-2014/2013/Lei/L12846.htm#art5" TargetMode="Externa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yec0b4be6mCyViNY2w+jGDNUFA==">CgMxLjAyCGguZ2pkZ3hzMg5oLm5hM2k3c3l5MmoyMTIOaC5vY2l0MGNldHN4M3IyDmgudnJlaGxhamduYWtyMg5oLjRubXJ4aXBncTNuZjIOaC5jdzRrZDhueHJpOGM4AHIhMWJHM0FrLUVrRGNJbTNqYzNiOGpGUHBsWUxnMjNoeF9E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